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p>
    <w:p w:rsidR="00434D4C" w:rsidRDefault="00434D4C" w:rsidP="00434D4C">
      <w:pPr>
        <w:ind w:firstLine="0"/>
        <w:jc w:val="center"/>
        <w:rPr>
          <w:rFonts w:ascii="Times New Roman" w:hAnsi="Times New Roman"/>
          <w:b/>
          <w:sz w:val="28"/>
          <w:szCs w:val="28"/>
        </w:rPr>
      </w:pPr>
      <w:r>
        <w:rPr>
          <w:rFonts w:ascii="Times New Roman" w:hAnsi="Times New Roman"/>
          <w:b/>
          <w:sz w:val="28"/>
          <w:szCs w:val="28"/>
        </w:rPr>
        <w:t>МЕТОДИЧЕСКИЕ РЕКОМЕНДАЦИИ</w:t>
      </w:r>
    </w:p>
    <w:p w:rsidR="00434D4C" w:rsidRDefault="00434D4C" w:rsidP="00434D4C">
      <w:pPr>
        <w:ind w:firstLine="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rsidR="00434D4C" w:rsidRDefault="00434D4C" w:rsidP="00434D4C">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rsidR="00434D4C" w:rsidRDefault="00434D4C" w:rsidP="00434D4C">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rsidR="00434D4C" w:rsidRDefault="00434D4C" w:rsidP="00434D4C">
      <w:pPr>
        <w:ind w:firstLine="0"/>
        <w:jc w:val="center"/>
        <w:rPr>
          <w:rFonts w:ascii="Times New Roman" w:hAnsi="Times New Roman"/>
          <w:sz w:val="28"/>
          <w:szCs w:val="28"/>
        </w:rPr>
      </w:pPr>
      <w:r>
        <w:rPr>
          <w:rFonts w:ascii="Times New Roman" w:hAnsi="Times New Roman"/>
          <w:sz w:val="28"/>
          <w:szCs w:val="28"/>
        </w:rPr>
        <w:t>в 2018 году (за отчетный 2017 год)</w:t>
      </w:r>
    </w:p>
    <w:p w:rsidR="00434D4C" w:rsidRPr="003464AF" w:rsidRDefault="00434D4C" w:rsidP="00434D4C">
      <w:pPr>
        <w:jc w:val="center"/>
        <w:rPr>
          <w:rFonts w:ascii="Times New Roman" w:hAnsi="Times New Roman"/>
          <w:b/>
          <w:sz w:val="28"/>
          <w:szCs w:val="28"/>
        </w:rPr>
      </w:pPr>
    </w:p>
    <w:p w:rsidR="00434D4C" w:rsidRDefault="00434D4C" w:rsidP="00434D4C">
      <w:pPr>
        <w:jc w:val="center"/>
        <w:rPr>
          <w:rFonts w:ascii="Times New Roman" w:hAnsi="Times New Roman"/>
          <w:b/>
          <w:sz w:val="28"/>
          <w:szCs w:val="28"/>
        </w:rPr>
      </w:pPr>
      <w:r>
        <w:rPr>
          <w:rFonts w:ascii="Times New Roman" w:hAnsi="Times New Roman"/>
          <w:b/>
          <w:sz w:val="28"/>
          <w:szCs w:val="28"/>
        </w:rPr>
        <w:t>Основные н</w:t>
      </w:r>
      <w:r w:rsidRPr="009A3AB1">
        <w:rPr>
          <w:rFonts w:ascii="Times New Roman" w:hAnsi="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w:t>
      </w:r>
      <w:r>
        <w:rPr>
          <w:rFonts w:ascii="Times New Roman" w:hAnsi="Times New Roman"/>
          <w:b/>
          <w:sz w:val="28"/>
          <w:szCs w:val="28"/>
        </w:rPr>
        <w:t>8</w:t>
      </w:r>
      <w:r w:rsidRPr="009A3AB1">
        <w:rPr>
          <w:rFonts w:ascii="Times New Roman" w:hAnsi="Times New Roman"/>
          <w:b/>
          <w:sz w:val="28"/>
          <w:szCs w:val="28"/>
        </w:rPr>
        <w:t xml:space="preserve"> году (</w:t>
      </w:r>
      <w:r>
        <w:rPr>
          <w:rFonts w:ascii="Times New Roman" w:hAnsi="Times New Roman"/>
          <w:b/>
          <w:sz w:val="28"/>
          <w:szCs w:val="28"/>
        </w:rPr>
        <w:t xml:space="preserve">за </w:t>
      </w:r>
      <w:r w:rsidRPr="009A3AB1">
        <w:rPr>
          <w:rFonts w:ascii="Times New Roman" w:hAnsi="Times New Roman"/>
          <w:b/>
          <w:sz w:val="28"/>
          <w:szCs w:val="28"/>
        </w:rPr>
        <w:t>отчетный 201</w:t>
      </w:r>
      <w:r>
        <w:rPr>
          <w:rFonts w:ascii="Times New Roman" w:hAnsi="Times New Roman"/>
          <w:b/>
          <w:sz w:val="28"/>
          <w:szCs w:val="28"/>
        </w:rPr>
        <w:t>7</w:t>
      </w:r>
      <w:r w:rsidRPr="009A3AB1">
        <w:rPr>
          <w:rFonts w:ascii="Times New Roman" w:hAnsi="Times New Roman"/>
          <w:b/>
          <w:sz w:val="28"/>
          <w:szCs w:val="28"/>
        </w:rPr>
        <w:t xml:space="preserve"> г</w:t>
      </w:r>
      <w:r>
        <w:rPr>
          <w:rFonts w:ascii="Times New Roman" w:hAnsi="Times New Roman"/>
          <w:b/>
          <w:sz w:val="28"/>
          <w:szCs w:val="28"/>
        </w:rPr>
        <w:t>од</w:t>
      </w:r>
      <w:r w:rsidRPr="009A3AB1">
        <w:rPr>
          <w:rFonts w:ascii="Times New Roman" w:hAnsi="Times New Roman"/>
          <w:b/>
          <w:sz w:val="28"/>
          <w:szCs w:val="28"/>
        </w:rPr>
        <w:t>)</w:t>
      </w:r>
    </w:p>
    <w:p w:rsidR="00434D4C" w:rsidRPr="009A3AB1" w:rsidRDefault="00434D4C" w:rsidP="00434D4C">
      <w:pPr>
        <w:jc w:val="center"/>
        <w:rPr>
          <w:rFonts w:ascii="Times New Roman" w:hAnsi="Times New Roman"/>
          <w:b/>
          <w:sz w:val="28"/>
          <w:szCs w:val="28"/>
        </w:rPr>
      </w:pPr>
    </w:p>
    <w:p w:rsidR="00434D4C" w:rsidRDefault="00434D4C" w:rsidP="00434D4C">
      <w:pPr>
        <w:rPr>
          <w:rFonts w:ascii="Times New Roman" w:hAnsi="Times New Roman"/>
          <w:sz w:val="28"/>
          <w:szCs w:val="28"/>
        </w:rPr>
      </w:pPr>
      <w:r w:rsidRPr="001532B9">
        <w:rPr>
          <w:rFonts w:ascii="Times New Roman" w:hAnsi="Times New Roman"/>
          <w:sz w:val="28"/>
          <w:szCs w:val="28"/>
        </w:rPr>
        <w:t>В течение последних лет является устоявшейся практик</w:t>
      </w:r>
      <w:r>
        <w:rPr>
          <w:rFonts w:ascii="Times New Roman" w:hAnsi="Times New Roman"/>
          <w:sz w:val="28"/>
          <w:szCs w:val="28"/>
        </w:rPr>
        <w:t>а</w:t>
      </w:r>
      <w:r w:rsidRPr="001532B9">
        <w:rPr>
          <w:rFonts w:ascii="Times New Roman" w:hAnsi="Times New Roman"/>
          <w:sz w:val="28"/>
          <w:szCs w:val="28"/>
        </w:rPr>
        <w:t xml:space="preserve"> подготовк</w:t>
      </w:r>
      <w:r>
        <w:rPr>
          <w:rFonts w:ascii="Times New Roman" w:hAnsi="Times New Roman"/>
          <w:sz w:val="28"/>
          <w:szCs w:val="28"/>
        </w:rPr>
        <w:t>и</w:t>
      </w:r>
      <w:r w:rsidRPr="001532B9">
        <w:rPr>
          <w:rFonts w:ascii="Times New Roman" w:hAnsi="Times New Roman"/>
          <w:sz w:val="28"/>
          <w:szCs w:val="28"/>
        </w:rPr>
        <w:t xml:space="preserve"> </w:t>
      </w:r>
      <w:r>
        <w:rPr>
          <w:rFonts w:ascii="Times New Roman" w:hAnsi="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sz w:val="28"/>
          <w:szCs w:val="28"/>
        </w:rPr>
        <w:t>, направления их в заинтересованные государственные органы и организации, а также размещения на официальном сайте Минтруда России.</w:t>
      </w:r>
    </w:p>
    <w:p w:rsidR="00434D4C" w:rsidRDefault="00434D4C" w:rsidP="00434D4C">
      <w:pPr>
        <w:rPr>
          <w:rFonts w:ascii="Times New Roman" w:hAnsi="Times New Roman"/>
          <w:sz w:val="28"/>
          <w:szCs w:val="28"/>
        </w:rPr>
      </w:pPr>
      <w:r w:rsidRPr="007C7C20">
        <w:rPr>
          <w:rFonts w:ascii="Times New Roman" w:hAnsi="Times New Roman"/>
          <w:sz w:val="28"/>
          <w:szCs w:val="28"/>
        </w:rPr>
        <w:t>Методические рекомендации</w:t>
      </w:r>
      <w:r>
        <w:rPr>
          <w:rFonts w:ascii="Times New Roman" w:hAnsi="Times New Roman"/>
          <w:sz w:val="28"/>
          <w:szCs w:val="28"/>
        </w:rPr>
        <w:t xml:space="preserve"> для применения в ходе декларационной кампании 2018 года (за отчетный 2017 год) подготовлены Министерством при участии Администрации Президента Российской Федерации и Генеральной прокуратуры Российской Федерации.</w:t>
      </w:r>
    </w:p>
    <w:p w:rsidR="00434D4C" w:rsidRDefault="00434D4C" w:rsidP="00434D4C">
      <w:pPr>
        <w:rPr>
          <w:rFonts w:ascii="Times New Roman" w:hAnsi="Times New Roman"/>
          <w:sz w:val="28"/>
          <w:szCs w:val="28"/>
        </w:rPr>
      </w:pPr>
      <w:r>
        <w:rPr>
          <w:rFonts w:ascii="Times New Roman" w:hAnsi="Times New Roman"/>
          <w:sz w:val="28"/>
          <w:szCs w:val="28"/>
        </w:rPr>
        <w:t>В ходе использования в работе Методических рекомендаций предлагаем обратить внимание на следующее.</w:t>
      </w:r>
    </w:p>
    <w:p w:rsidR="00434D4C" w:rsidRDefault="00434D4C" w:rsidP="00434D4C">
      <w:pPr>
        <w:rPr>
          <w:rFonts w:ascii="Times New Roman" w:hAnsi="Times New Roman"/>
          <w:sz w:val="28"/>
          <w:szCs w:val="28"/>
        </w:rPr>
      </w:pPr>
      <w:r>
        <w:rPr>
          <w:rFonts w:ascii="Times New Roman" w:hAnsi="Times New Roman"/>
          <w:sz w:val="28"/>
        </w:rPr>
        <w:t>Указано на возможность представления</w:t>
      </w:r>
      <w:r w:rsidRPr="001611D9">
        <w:rPr>
          <w:rFonts w:ascii="Times New Roman" w:hAnsi="Times New Roman"/>
          <w:sz w:val="28"/>
        </w:rPr>
        <w:t xml:space="preserve"> сведений в</w:t>
      </w:r>
      <w:r>
        <w:rPr>
          <w:rFonts w:ascii="Times New Roman" w:hAnsi="Times New Roman"/>
          <w:sz w:val="28"/>
        </w:rPr>
        <w:t xml:space="preserve"> отношении несовершеннолетнего ребенка в</w:t>
      </w:r>
      <w:r w:rsidRPr="001611D9">
        <w:rPr>
          <w:rFonts w:ascii="Times New Roman" w:hAnsi="Times New Roman"/>
          <w:sz w:val="28"/>
        </w:rPr>
        <w:t xml:space="preserve"> случае, если </w:t>
      </w:r>
      <w:r>
        <w:rPr>
          <w:rFonts w:ascii="Times New Roman" w:hAnsi="Times New Roman"/>
          <w:sz w:val="28"/>
          <w:szCs w:val="28"/>
        </w:rPr>
        <w:t>лицо, представляющее сведения,</w:t>
      </w:r>
      <w:r w:rsidRPr="001611D9">
        <w:rPr>
          <w:rFonts w:ascii="Times New Roman" w:hAnsi="Times New Roman"/>
          <w:sz w:val="28"/>
          <w:szCs w:val="28"/>
        </w:rPr>
        <w:t xml:space="preserve"> является опекуном (попечителем) или его супруга (супруг) является опекуном (попечителем), усыновите</w:t>
      </w:r>
      <w:r>
        <w:rPr>
          <w:rFonts w:ascii="Times New Roman" w:hAnsi="Times New Roman"/>
          <w:sz w:val="28"/>
          <w:szCs w:val="28"/>
        </w:rPr>
        <w:t>лем такого несовершеннолетнего ребенка</w:t>
      </w:r>
      <w:r w:rsidRPr="001611D9">
        <w:rPr>
          <w:rFonts w:ascii="Times New Roman" w:hAnsi="Times New Roman"/>
          <w:sz w:val="28"/>
          <w:szCs w:val="28"/>
        </w:rPr>
        <w:t>.</w:t>
      </w:r>
    </w:p>
    <w:p w:rsidR="00434D4C" w:rsidRDefault="00434D4C" w:rsidP="00434D4C">
      <w:pPr>
        <w:rPr>
          <w:rFonts w:ascii="Times New Roman" w:hAnsi="Times New Roman"/>
          <w:sz w:val="28"/>
          <w:szCs w:val="28"/>
        </w:rPr>
      </w:pPr>
      <w:r>
        <w:rPr>
          <w:rFonts w:ascii="Times New Roman" w:hAnsi="Times New Roman"/>
          <w:sz w:val="28"/>
          <w:szCs w:val="28"/>
        </w:rPr>
        <w:t xml:space="preserve">В подпункте 1 пункта 35 </w:t>
      </w:r>
      <w:r>
        <w:rPr>
          <w:rFonts w:ascii="Times New Roman" w:hAnsi="Times New Roman"/>
          <w:sz w:val="28"/>
        </w:rPr>
        <w:t xml:space="preserve">Методических рекомендаций </w:t>
      </w:r>
      <w:r>
        <w:rPr>
          <w:rFonts w:ascii="Times New Roman" w:hAnsi="Times New Roman"/>
          <w:sz w:val="28"/>
          <w:szCs w:val="28"/>
        </w:rPr>
        <w:t>изменен подход заполнения титульного листа справки: фамилия, имя и отчество указываются в именительном падеже.</w:t>
      </w:r>
    </w:p>
    <w:p w:rsidR="00434D4C" w:rsidRDefault="00434D4C" w:rsidP="00434D4C">
      <w:pPr>
        <w:rPr>
          <w:rFonts w:ascii="Times New Roman" w:hAnsi="Times New Roman"/>
          <w:sz w:val="28"/>
        </w:rPr>
      </w:pPr>
      <w:r>
        <w:rPr>
          <w:rFonts w:ascii="Times New Roman" w:hAnsi="Times New Roman"/>
          <w:sz w:val="28"/>
          <w:szCs w:val="28"/>
        </w:rPr>
        <w:t xml:space="preserve">Подпункт 3 пункта 35 </w:t>
      </w:r>
      <w:r>
        <w:rPr>
          <w:rFonts w:ascii="Times New Roman" w:hAnsi="Times New Roman"/>
          <w:sz w:val="28"/>
        </w:rPr>
        <w:t>Методических рекомендаций дополнен положениями при представлении сведений в отношении отдельных категорий лиц.</w:t>
      </w:r>
    </w:p>
    <w:p w:rsidR="00434D4C" w:rsidRDefault="00434D4C" w:rsidP="00434D4C">
      <w:pPr>
        <w:rPr>
          <w:rFonts w:ascii="Times New Roman" w:hAnsi="Times New Roman"/>
          <w:sz w:val="28"/>
          <w:szCs w:val="28"/>
        </w:rPr>
      </w:pPr>
      <w:r>
        <w:rPr>
          <w:rFonts w:ascii="Times New Roman" w:hAnsi="Times New Roman"/>
          <w:sz w:val="28"/>
          <w:szCs w:val="28"/>
        </w:rPr>
        <w:t>Уточнен подход к определению понятия «доход» в рамках антикоррупционного законодательства Российской Федерации.</w:t>
      </w:r>
    </w:p>
    <w:p w:rsidR="00434D4C" w:rsidRDefault="00434D4C" w:rsidP="00434D4C">
      <w:pPr>
        <w:rPr>
          <w:rFonts w:ascii="Times New Roman" w:hAnsi="Times New Roman"/>
          <w:sz w:val="28"/>
          <w:szCs w:val="28"/>
        </w:rPr>
      </w:pPr>
      <w:r>
        <w:rPr>
          <w:rFonts w:ascii="Times New Roman" w:hAnsi="Times New Roman"/>
          <w:sz w:val="28"/>
          <w:szCs w:val="28"/>
        </w:rPr>
        <w:t>Пункт 41 предусматривает определение понятия «доход» в отношении лица</w:t>
      </w:r>
      <w:r w:rsidRPr="00B92AEA">
        <w:rPr>
          <w:rFonts w:ascii="Times New Roman" w:hAnsi="Times New Roman"/>
          <w:sz w:val="28"/>
          <w:szCs w:val="28"/>
        </w:rPr>
        <w:t>, являющегося нотариусом, занимающимся частной практикой</w:t>
      </w:r>
      <w:r>
        <w:rPr>
          <w:rFonts w:ascii="Times New Roman" w:hAnsi="Times New Roman"/>
          <w:sz w:val="28"/>
          <w:szCs w:val="28"/>
        </w:rPr>
        <w:t>.</w:t>
      </w:r>
    </w:p>
    <w:p w:rsidR="00434D4C" w:rsidRDefault="00434D4C" w:rsidP="00434D4C">
      <w:pPr>
        <w:rPr>
          <w:rFonts w:ascii="Times New Roman" w:hAnsi="Times New Roman"/>
          <w:sz w:val="28"/>
          <w:szCs w:val="28"/>
        </w:rPr>
      </w:pPr>
      <w:r>
        <w:rPr>
          <w:rFonts w:ascii="Times New Roman" w:hAnsi="Times New Roman"/>
          <w:sz w:val="28"/>
          <w:szCs w:val="28"/>
        </w:rPr>
        <w:t>Также в пункте 53 указано, что д</w:t>
      </w:r>
      <w:bookmarkStart w:id="0" w:name="_GoBack"/>
      <w:bookmarkEnd w:id="0"/>
      <w:r w:rsidRPr="00B92AEA">
        <w:rPr>
          <w:rFonts w:ascii="Times New Roman" w:hAnsi="Times New Roman"/>
          <w:sz w:val="28"/>
          <w:szCs w:val="28"/>
        </w:rPr>
        <w:t>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w:t>
      </w:r>
      <w:r>
        <w:rPr>
          <w:rFonts w:ascii="Times New Roman" w:hAnsi="Times New Roman"/>
          <w:sz w:val="28"/>
          <w:szCs w:val="28"/>
        </w:rPr>
        <w:t xml:space="preserve"> (счету), не подлежат отражению.</w:t>
      </w:r>
    </w:p>
    <w:p w:rsidR="00434D4C" w:rsidRDefault="00434D4C" w:rsidP="00434D4C">
      <w:pPr>
        <w:rPr>
          <w:rFonts w:ascii="Times New Roman" w:hAnsi="Times New Roman"/>
          <w:sz w:val="28"/>
          <w:szCs w:val="28"/>
        </w:rPr>
      </w:pPr>
      <w:r>
        <w:rPr>
          <w:rFonts w:ascii="Times New Roman" w:hAnsi="Times New Roman"/>
          <w:sz w:val="28"/>
          <w:szCs w:val="28"/>
        </w:rPr>
        <w:t>Методические рекомендации дополнены случаями, при которых подлежит заполнению строка 6 «Иные доходы» раздела 1 справки, а также случаями, при которых отражение денежных средств в справке не требуется.</w:t>
      </w:r>
    </w:p>
    <w:p w:rsidR="00434D4C" w:rsidRDefault="00434D4C" w:rsidP="00434D4C">
      <w:pPr>
        <w:rPr>
          <w:rFonts w:ascii="Times New Roman" w:hAnsi="Times New Roman"/>
          <w:sz w:val="28"/>
          <w:szCs w:val="28"/>
        </w:rPr>
      </w:pPr>
      <w:r>
        <w:rPr>
          <w:rFonts w:ascii="Times New Roman" w:hAnsi="Times New Roman"/>
          <w:sz w:val="28"/>
          <w:szCs w:val="28"/>
        </w:rPr>
        <w:lastRenderedPageBreak/>
        <w:t>Пунктом 62 Методических рекомендаций предусмотрен порядок расчета общего дохода в целях представления сведений о расходах.</w:t>
      </w:r>
    </w:p>
    <w:p w:rsidR="00434D4C" w:rsidRDefault="00434D4C" w:rsidP="00434D4C">
      <w:pPr>
        <w:rPr>
          <w:rFonts w:ascii="Times New Roman" w:hAnsi="Times New Roman"/>
          <w:sz w:val="28"/>
          <w:szCs w:val="28"/>
        </w:rPr>
      </w:pPr>
      <w:r>
        <w:rPr>
          <w:rFonts w:ascii="Times New Roman" w:hAnsi="Times New Roman"/>
          <w:sz w:val="28"/>
          <w:szCs w:val="28"/>
        </w:rPr>
        <w:t>Отдельно в пункте 85 Методических рекомендаций отмечено, что в рамках антикоррупционного законодательства совместным признается имущество, соответствующая информация о котором отражена в правоустанавливающих документах.</w:t>
      </w:r>
    </w:p>
    <w:p w:rsidR="00434D4C" w:rsidRDefault="00434D4C" w:rsidP="00434D4C">
      <w:pPr>
        <w:rPr>
          <w:rFonts w:ascii="Times New Roman" w:hAnsi="Times New Roman"/>
          <w:sz w:val="28"/>
          <w:szCs w:val="28"/>
        </w:rPr>
      </w:pPr>
      <w:r>
        <w:rPr>
          <w:rFonts w:ascii="Times New Roman" w:hAnsi="Times New Roman"/>
          <w:sz w:val="28"/>
          <w:szCs w:val="28"/>
        </w:rPr>
        <w:t xml:space="preserve">Пунктом 102 предусмотрено, что в графе </w:t>
      </w:r>
      <w:r w:rsidRPr="001611D9">
        <w:rPr>
          <w:rFonts w:ascii="Times New Roman" w:hAnsi="Times New Roman"/>
          <w:sz w:val="28"/>
          <w:szCs w:val="28"/>
        </w:rPr>
        <w:t xml:space="preserve">«Наименование и адрес банка или иной кредитной организации» </w:t>
      </w:r>
      <w:r>
        <w:rPr>
          <w:rFonts w:ascii="Times New Roman" w:hAnsi="Times New Roman"/>
          <w:sz w:val="28"/>
          <w:szCs w:val="28"/>
        </w:rPr>
        <w:t xml:space="preserve">раздела 4 справки </w:t>
      </w:r>
      <w:r w:rsidRPr="001611D9">
        <w:rPr>
          <w:rFonts w:ascii="Times New Roman" w:hAnsi="Times New Roman"/>
          <w:sz w:val="28"/>
          <w:szCs w:val="28"/>
        </w:rPr>
        <w:t>рекомендуется указывать юридический адрес отделения банка или иной кредитной организации, в котором был открыт соответствующий счет</w:t>
      </w:r>
      <w:r>
        <w:rPr>
          <w:rFonts w:ascii="Times New Roman" w:hAnsi="Times New Roman"/>
          <w:sz w:val="28"/>
          <w:szCs w:val="28"/>
        </w:rPr>
        <w:t>.</w:t>
      </w:r>
    </w:p>
    <w:p w:rsidR="00434D4C" w:rsidRDefault="00434D4C" w:rsidP="00434D4C">
      <w:pPr>
        <w:rPr>
          <w:rFonts w:ascii="Times New Roman" w:hAnsi="Times New Roman"/>
          <w:sz w:val="28"/>
          <w:szCs w:val="28"/>
        </w:rPr>
      </w:pPr>
      <w:r>
        <w:rPr>
          <w:rFonts w:ascii="Times New Roman" w:hAnsi="Times New Roman"/>
          <w:sz w:val="28"/>
          <w:szCs w:val="28"/>
        </w:rPr>
        <w:t>Отдельно в пункте 114 Методических рекомендаций отмечено, что вклады</w:t>
      </w:r>
      <w:r w:rsidRPr="00B92AEA">
        <w:rPr>
          <w:rFonts w:ascii="Times New Roman" w:hAnsi="Times New Roman"/>
          <w:sz w:val="28"/>
          <w:szCs w:val="28"/>
        </w:rPr>
        <w:t xml:space="preserve"> «Классический», «Выгодный», «Комфортный» и др., как правило, являются депозитными счетами</w:t>
      </w:r>
      <w:r>
        <w:rPr>
          <w:rFonts w:ascii="Times New Roman" w:hAnsi="Times New Roman"/>
          <w:sz w:val="28"/>
          <w:szCs w:val="28"/>
        </w:rPr>
        <w:t>.</w:t>
      </w:r>
    </w:p>
    <w:p w:rsidR="00434D4C" w:rsidRDefault="00434D4C" w:rsidP="00434D4C">
      <w:pPr>
        <w:rPr>
          <w:rFonts w:ascii="Times New Roman" w:hAnsi="Times New Roman"/>
          <w:sz w:val="28"/>
          <w:szCs w:val="28"/>
        </w:rPr>
      </w:pPr>
      <w:r>
        <w:rPr>
          <w:rFonts w:ascii="Times New Roman" w:hAnsi="Times New Roman"/>
          <w:sz w:val="28"/>
          <w:szCs w:val="28"/>
        </w:rPr>
        <w:t>В пункте 116 Методических рекомендаций указан порядок отражения счетов, открываемых депозитариями.</w:t>
      </w:r>
    </w:p>
    <w:p w:rsidR="00434D4C" w:rsidRDefault="00434D4C" w:rsidP="00434D4C">
      <w:pPr>
        <w:rPr>
          <w:rFonts w:ascii="Times New Roman" w:hAnsi="Times New Roman"/>
          <w:sz w:val="28"/>
          <w:szCs w:val="28"/>
        </w:rPr>
      </w:pPr>
      <w:r>
        <w:rPr>
          <w:rFonts w:ascii="Times New Roman" w:hAnsi="Times New Roman"/>
          <w:sz w:val="28"/>
          <w:szCs w:val="28"/>
        </w:rPr>
        <w:t>Пунктами 124-126 Методических рекомендаций предусмотрен порядок действий в случае отзыва лицензии у кредитной организации.</w:t>
      </w:r>
    </w:p>
    <w:p w:rsidR="00434D4C" w:rsidRDefault="00434D4C" w:rsidP="00434D4C">
      <w:pPr>
        <w:rPr>
          <w:rFonts w:ascii="Times New Roman" w:hAnsi="Times New Roman"/>
          <w:sz w:val="28"/>
          <w:szCs w:val="28"/>
        </w:rPr>
      </w:pPr>
      <w:r>
        <w:rPr>
          <w:rFonts w:ascii="Times New Roman" w:hAnsi="Times New Roman"/>
          <w:sz w:val="28"/>
          <w:szCs w:val="28"/>
        </w:rPr>
        <w:t>В пункте 138 Методических рекомендаций уточнен порядок представления сведений об объектах незавершенного строительства, а также об имуществе, по адресу которого имеется регистрация.</w:t>
      </w:r>
    </w:p>
    <w:p w:rsidR="00434D4C" w:rsidRDefault="00434D4C" w:rsidP="00434D4C">
      <w:pPr>
        <w:rPr>
          <w:rFonts w:ascii="Times New Roman" w:hAnsi="Times New Roman"/>
          <w:sz w:val="28"/>
          <w:szCs w:val="28"/>
        </w:rPr>
      </w:pPr>
      <w:r>
        <w:rPr>
          <w:rFonts w:ascii="Times New Roman" w:hAnsi="Times New Roman"/>
          <w:sz w:val="28"/>
          <w:szCs w:val="28"/>
        </w:rPr>
        <w:t xml:space="preserve">Пункт 143 Методических рекомендаций дополнен положениями, согласно которым </w:t>
      </w:r>
      <w:r w:rsidRPr="00B92AEA">
        <w:rPr>
          <w:rFonts w:ascii="Times New Roman" w:hAnsi="Times New Roman"/>
          <w:sz w:val="28"/>
          <w:szCs w:val="28"/>
        </w:rPr>
        <w:t>рекомендуется указывать фамилию, имя и отчество лица, предоставившего объект недвижимого имущества</w:t>
      </w:r>
      <w:r>
        <w:rPr>
          <w:rFonts w:ascii="Times New Roman" w:hAnsi="Times New Roman"/>
          <w:sz w:val="28"/>
          <w:szCs w:val="28"/>
        </w:rPr>
        <w:t xml:space="preserve"> в пользование.</w:t>
      </w:r>
    </w:p>
    <w:p w:rsidR="00434D4C" w:rsidRDefault="00434D4C" w:rsidP="00434D4C">
      <w:pPr>
        <w:rPr>
          <w:rFonts w:ascii="Times New Roman" w:hAnsi="Times New Roman"/>
          <w:sz w:val="28"/>
          <w:szCs w:val="28"/>
        </w:rPr>
      </w:pPr>
      <w:r>
        <w:rPr>
          <w:rFonts w:ascii="Times New Roman" w:hAnsi="Times New Roman"/>
          <w:sz w:val="28"/>
        </w:rPr>
        <w:t xml:space="preserve">Положения Методических рекомендаций предусматривают порядок представления сведений </w:t>
      </w:r>
      <w:r w:rsidRPr="001F43C6">
        <w:rPr>
          <w:rFonts w:ascii="Times New Roman" w:hAnsi="Times New Roman"/>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w:t>
      </w:r>
    </w:p>
    <w:p w:rsidR="00434D4C" w:rsidRDefault="00434D4C" w:rsidP="00D557E0">
      <w:pPr>
        <w:ind w:firstLine="0"/>
        <w:jc w:val="center"/>
        <w:rPr>
          <w:rFonts w:ascii="Times New Roman" w:hAnsi="Times New Roman"/>
          <w:b/>
          <w:sz w:val="28"/>
          <w:szCs w:val="28"/>
        </w:rPr>
      </w:pPr>
      <w:r>
        <w:rPr>
          <w:rFonts w:ascii="Times New Roman" w:hAnsi="Times New Roman"/>
          <w:b/>
          <w:sz w:val="28"/>
          <w:szCs w:val="28"/>
        </w:rPr>
        <w:br w:type="page"/>
      </w:r>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lastRenderedPageBreak/>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w:t>
      </w:r>
      <w:r w:rsidRPr="00E00F6B">
        <w:rPr>
          <w:rFonts w:ascii="Times New Roman" w:hAnsi="Times New Roman"/>
          <w:sz w:val="28"/>
          <w:szCs w:val="28"/>
        </w:rPr>
        <w:lastRenderedPageBreak/>
        <w:t>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w:t>
      </w:r>
      <w:r w:rsidRPr="00E00F6B">
        <w:rPr>
          <w:rFonts w:ascii="Times New Roman" w:hAnsi="Times New Roman"/>
          <w:sz w:val="28"/>
          <w:szCs w:val="28"/>
        </w:rPr>
        <w:lastRenderedPageBreak/>
        <w:t>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w:t>
      </w:r>
      <w:r w:rsidRPr="00E00F6B">
        <w:rPr>
          <w:rFonts w:ascii="Times New Roman" w:hAnsi="Times New Roman"/>
          <w:sz w:val="28"/>
          <w:szCs w:val="28"/>
        </w:rPr>
        <w:lastRenderedPageBreak/>
        <w:t>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w:t>
      </w:r>
      <w:r w:rsidR="001F43C6" w:rsidRPr="00E00F6B">
        <w:rPr>
          <w:rFonts w:ascii="Times New Roman" w:hAnsi="Times New Roman"/>
          <w:sz w:val="28"/>
          <w:szCs w:val="28"/>
        </w:rPr>
        <w:lastRenderedPageBreak/>
        <w:t xml:space="preserve">бумагах, отчужденных в течение отчетного периода в результате 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w:t>
            </w:r>
            <w:r w:rsidRPr="00E00F6B">
              <w:rPr>
                <w:rFonts w:ascii="Times New Roman" w:hAnsi="Times New Roman"/>
                <w:sz w:val="28"/>
                <w:szCs w:val="28"/>
              </w:rPr>
              <w:lastRenderedPageBreak/>
              <w:t xml:space="preserve">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w:t>
      </w:r>
      <w:r w:rsidRPr="00E00F6B">
        <w:rPr>
          <w:rFonts w:ascii="Times New Roman" w:hAnsi="Times New Roman"/>
          <w:sz w:val="28"/>
          <w:szCs w:val="28"/>
        </w:rPr>
        <w:lastRenderedPageBreak/>
        <w:t xml:space="preserve">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w:t>
      </w:r>
      <w:r w:rsidRPr="00E00F6B">
        <w:rPr>
          <w:rFonts w:ascii="Times New Roman" w:hAnsi="Times New Roman"/>
          <w:sz w:val="28"/>
          <w:szCs w:val="28"/>
        </w:rPr>
        <w:lastRenderedPageBreak/>
        <w:t>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 xml:space="preserve">на отчетную дату размер обязательства </w:t>
      </w:r>
      <w:r w:rsidR="00096ED3" w:rsidRPr="00E00F6B">
        <w:rPr>
          <w:rFonts w:ascii="Times New Roman" w:hAnsi="Times New Roman"/>
          <w:sz w:val="28"/>
          <w:szCs w:val="28"/>
        </w:rPr>
        <w:lastRenderedPageBreak/>
        <w:t>(оставшийся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w:t>
      </w:r>
      <w:r w:rsidRPr="00E00F6B">
        <w:rPr>
          <w:rFonts w:ascii="Times New Roman" w:hAnsi="Times New Roman"/>
          <w:sz w:val="28"/>
          <w:szCs w:val="28"/>
        </w:rPr>
        <w:lastRenderedPageBreak/>
        <w:t>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w:t>
      </w:r>
      <w:r w:rsidRPr="00E00F6B">
        <w:rPr>
          <w:rFonts w:ascii="Times New Roman" w:hAnsi="Times New Roman"/>
          <w:sz w:val="28"/>
          <w:szCs w:val="28"/>
        </w:rPr>
        <w:lastRenderedPageBreak/>
        <w:t xml:space="preserve">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FB" w:rsidRDefault="00D970FB" w:rsidP="00204BB5">
      <w:r>
        <w:separator/>
      </w:r>
    </w:p>
  </w:endnote>
  <w:endnote w:type="continuationSeparator" w:id="0">
    <w:p w:rsidR="00D970FB" w:rsidRDefault="00D970F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FB" w:rsidRDefault="00D970FB" w:rsidP="00204BB5">
      <w:r>
        <w:separator/>
      </w:r>
    </w:p>
  </w:footnote>
  <w:footnote w:type="continuationSeparator" w:id="0">
    <w:p w:rsidR="00D970FB" w:rsidRDefault="00D970FB"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1824C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34D4C">
      <w:rPr>
        <w:rFonts w:ascii="Times New Roman" w:hAnsi="Times New Roman"/>
        <w:noProof/>
        <w:sz w:val="28"/>
        <w:szCs w:val="28"/>
      </w:rPr>
      <w:t>4</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974B4"/>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4D4C"/>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0F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1220D3F-AA3D-43F7-A532-F7F24C52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16329</Words>
  <Characters>93080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109191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Управление контроля</cp:lastModifiedBy>
  <cp:revision>3</cp:revision>
  <cp:lastPrinted>2018-01-10T07:12:00Z</cp:lastPrinted>
  <dcterms:created xsi:type="dcterms:W3CDTF">2018-01-10T07:14:00Z</dcterms:created>
  <dcterms:modified xsi:type="dcterms:W3CDTF">2018-01-16T08:09:00Z</dcterms:modified>
</cp:coreProperties>
</file>